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DB671A5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2454DE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FB25C9">
        <w:rPr>
          <w:rFonts w:ascii="Arial" w:hAnsi="Arial" w:cs="Arial"/>
          <w:b/>
          <w:bCs/>
          <w:sz w:val="28"/>
          <w:szCs w:val="24"/>
        </w:rPr>
        <w:t>459</w:t>
      </w:r>
      <w:r w:rsidR="00D73E74">
        <w:rPr>
          <w:rFonts w:ascii="Arial" w:hAnsi="Arial" w:cs="Arial"/>
          <w:b/>
          <w:bCs/>
          <w:sz w:val="28"/>
          <w:szCs w:val="24"/>
        </w:rPr>
        <w:t>4</w:t>
      </w:r>
    </w:p>
    <w:p w14:paraId="3E6B4129" w14:textId="101815BF" w:rsidR="00463675" w:rsidRPr="000F4E43" w:rsidRDefault="002454D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Fukuoka, Japan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19-23 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E4E2772" w:rsidR="00463675" w:rsidRPr="00103005" w:rsidRDefault="00463675" w:rsidP="00926EDF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424AE">
        <w:rPr>
          <w:color w:val="0D0D0D"/>
        </w:rPr>
        <w:t xml:space="preserve">Further </w:t>
      </w:r>
      <w:proofErr w:type="gramStart"/>
      <w:r w:rsidR="004424AE">
        <w:rPr>
          <w:color w:val="0D0D0D"/>
        </w:rPr>
        <w:t>reply</w:t>
      </w:r>
      <w:proofErr w:type="gramEnd"/>
      <w:r w:rsidR="004424AE">
        <w:rPr>
          <w:color w:val="0D0D0D"/>
        </w:rPr>
        <w:t xml:space="preserve"> LS on </w:t>
      </w:r>
      <w:r w:rsidR="00103005" w:rsidRPr="00103005">
        <w:rPr>
          <w:color w:val="0D0D0D"/>
        </w:rPr>
        <w:t>signalling feasibility of dataset and parameter sharing</w:t>
      </w:r>
    </w:p>
    <w:p w14:paraId="723DDC09" w14:textId="7247C91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103005">
        <w:rPr>
          <w:bCs w:val="0"/>
        </w:rPr>
        <w:t>S2-2504512</w:t>
      </w:r>
      <w:r w:rsidR="00FF7B54">
        <w:rPr>
          <w:bCs w:val="0"/>
        </w:rPr>
        <w:t xml:space="preserve"> (</w:t>
      </w:r>
      <w:r w:rsidR="00103005">
        <w:rPr>
          <w:bCs w:val="0"/>
        </w:rPr>
        <w:t>R2</w:t>
      </w:r>
      <w:r w:rsidR="00FA03DC">
        <w:rPr>
          <w:bCs w:val="0"/>
        </w:rPr>
        <w:t>-2</w:t>
      </w:r>
      <w:r w:rsidR="002454DE">
        <w:rPr>
          <w:bCs w:val="0"/>
        </w:rPr>
        <w:t>5</w:t>
      </w:r>
      <w:r w:rsidR="00103005">
        <w:rPr>
          <w:bCs w:val="0"/>
        </w:rPr>
        <w:t>03169</w:t>
      </w:r>
      <w:r w:rsidR="00FF7B54">
        <w:rPr>
          <w:bCs w:val="0"/>
        </w:rPr>
        <w:t>)</w:t>
      </w:r>
    </w:p>
    <w:p w14:paraId="4A2F403A" w14:textId="14B95CC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103005">
        <w:t>19</w:t>
      </w:r>
    </w:p>
    <w:p w14:paraId="11BFCDC2" w14:textId="6614065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2663A9" w:rsidRPr="0096471A">
        <w:rPr>
          <w:sz w:val="22"/>
          <w:szCs w:val="22"/>
        </w:rPr>
        <w:t>NR_AIML_air-Core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D9ACD4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2663A9">
        <w:rPr>
          <w:b w:val="0"/>
          <w:bCs/>
          <w:lang w:val="fr-FR"/>
        </w:rPr>
        <w:t>RAN1, RAN2, RAN3</w:t>
      </w:r>
    </w:p>
    <w:p w14:paraId="6E0CADF1" w14:textId="6DB18D19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2663A9">
        <w:rPr>
          <w:b w:val="0"/>
          <w:bCs/>
          <w:lang w:val="fr-FR"/>
        </w:rPr>
        <w:t>SA3, SA5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FA1C1C" w:rsidRDefault="00463675">
      <w:pPr>
        <w:tabs>
          <w:tab w:val="left" w:pos="2268"/>
        </w:tabs>
        <w:rPr>
          <w:rFonts w:ascii="Arial" w:hAnsi="Arial" w:cs="Arial"/>
          <w:bCs/>
          <w:lang w:val="sv-FI"/>
        </w:rPr>
      </w:pPr>
      <w:r w:rsidRPr="00FA1C1C">
        <w:rPr>
          <w:rFonts w:ascii="Arial" w:hAnsi="Arial" w:cs="Arial"/>
          <w:b/>
          <w:lang w:val="sv-FI"/>
        </w:rPr>
        <w:t>Contact Person:</w:t>
      </w:r>
      <w:r w:rsidRPr="00FA1C1C">
        <w:rPr>
          <w:rFonts w:ascii="Arial" w:hAnsi="Arial" w:cs="Arial"/>
          <w:bCs/>
          <w:lang w:val="sv-FI"/>
        </w:rPr>
        <w:tab/>
      </w:r>
    </w:p>
    <w:p w14:paraId="4AABF526" w14:textId="502FDB08" w:rsidR="00463675" w:rsidRPr="00FA1C1C" w:rsidRDefault="00463675" w:rsidP="002663A9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FA1C1C">
        <w:rPr>
          <w:lang w:val="de-DE"/>
        </w:rPr>
        <w:t>Name:</w:t>
      </w:r>
      <w:r w:rsidRPr="00FA1C1C">
        <w:rPr>
          <w:bCs/>
          <w:lang w:val="de-DE"/>
        </w:rPr>
        <w:tab/>
      </w:r>
      <w:r w:rsidR="002663A9" w:rsidRPr="00FA1C1C">
        <w:rPr>
          <w:b w:val="0"/>
          <w:bCs/>
          <w:color w:val="000000"/>
          <w:lang w:val="de-DE" w:eastAsia="zh-CN"/>
        </w:rPr>
        <w:t>Juan Zhang</w:t>
      </w:r>
      <w:r w:rsidRPr="00FA1C1C">
        <w:rPr>
          <w:bCs/>
          <w:color w:val="000000"/>
          <w:lang w:val="de-DE"/>
        </w:rPr>
        <w:tab/>
      </w:r>
    </w:p>
    <w:p w14:paraId="41E88467" w14:textId="7F6BC69A" w:rsidR="00463675" w:rsidRPr="00FA1C1C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FA1C1C">
        <w:rPr>
          <w:color w:val="000000"/>
          <w:lang w:val="de-DE"/>
        </w:rPr>
        <w:t>E-mail Address:</w:t>
      </w:r>
      <w:r w:rsidRPr="00FA1C1C">
        <w:rPr>
          <w:bCs/>
          <w:color w:val="000000"/>
          <w:lang w:val="de-DE"/>
        </w:rPr>
        <w:tab/>
      </w:r>
      <w:r w:rsidR="002663A9" w:rsidRPr="00FA1C1C">
        <w:rPr>
          <w:b w:val="0"/>
          <w:bCs/>
          <w:color w:val="000000"/>
          <w:lang w:val="de-DE"/>
        </w:rPr>
        <w:t>juanzhan@qti.qualcomm.com</w:t>
      </w:r>
    </w:p>
    <w:p w14:paraId="102C35D8" w14:textId="77777777" w:rsidR="00463675" w:rsidRPr="00FA1C1C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2A7239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663A9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30AAC3B1" w:rsidR="00A46486" w:rsidRPr="0042541A" w:rsidRDefault="002663A9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AE6A5B">
        <w:rPr>
          <w:rFonts w:ascii="Arial" w:hAnsi="Arial" w:cs="Arial"/>
        </w:rPr>
        <w:t xml:space="preserve">RAN2 for the </w:t>
      </w:r>
      <w:r w:rsidR="009D497E" w:rsidRPr="009D497E">
        <w:rPr>
          <w:rFonts w:ascii="Arial" w:hAnsi="Arial" w:cs="Arial"/>
        </w:rPr>
        <w:t>Reply LS on signalling feasibility of dataset and parameter sharing</w:t>
      </w:r>
      <w:r w:rsidR="009D497E">
        <w:rPr>
          <w:rFonts w:ascii="Arial" w:hAnsi="Arial" w:cs="Arial"/>
        </w:rPr>
        <w:t xml:space="preserve"> in </w:t>
      </w:r>
      <w:r w:rsidR="009D497E" w:rsidRPr="009D497E">
        <w:rPr>
          <w:rFonts w:ascii="Arial" w:hAnsi="Arial" w:cs="Arial"/>
        </w:rPr>
        <w:t xml:space="preserve">S2-2504512 </w:t>
      </w:r>
      <w:r w:rsidR="009D497E">
        <w:rPr>
          <w:rFonts w:ascii="Arial" w:hAnsi="Arial" w:cs="Arial"/>
        </w:rPr>
        <w:t xml:space="preserve">/ </w:t>
      </w:r>
      <w:r w:rsidR="009D497E" w:rsidRPr="009D497E">
        <w:rPr>
          <w:rFonts w:ascii="Arial" w:hAnsi="Arial" w:cs="Arial"/>
        </w:rPr>
        <w:t>R2-2503169</w:t>
      </w:r>
      <w:r w:rsidR="009D497E">
        <w:rPr>
          <w:rFonts w:ascii="Arial" w:hAnsi="Arial" w:cs="Arial"/>
        </w:rPr>
        <w:t>.</w:t>
      </w:r>
      <w:r w:rsidR="00366A5F">
        <w:rPr>
          <w:rFonts w:ascii="Arial" w:hAnsi="Arial" w:cs="Arial"/>
        </w:rPr>
        <w:t xml:space="preserve"> RAN2 listed the following non-OTA candidate solutions and as</w:t>
      </w:r>
      <w:r w:rsidR="00C37AA0">
        <w:rPr>
          <w:rFonts w:ascii="Arial" w:hAnsi="Arial" w:cs="Arial"/>
        </w:rPr>
        <w:t>ked</w:t>
      </w:r>
      <w:r w:rsidR="00834A32">
        <w:rPr>
          <w:rFonts w:ascii="Arial" w:hAnsi="Arial" w:cs="Arial"/>
        </w:rPr>
        <w:t xml:space="preserve"> </w:t>
      </w:r>
      <w:r w:rsidR="00C37AA0">
        <w:rPr>
          <w:rFonts w:ascii="Arial" w:hAnsi="Arial" w:cs="Arial"/>
        </w:rPr>
        <w:t>SA2 to confirm if the solutions that impacted SA2 can be supported within Rel-19 existing architecture framework.</w:t>
      </w:r>
    </w:p>
    <w:p w14:paraId="55671B9C" w14:textId="77777777" w:rsidR="00AD691C" w:rsidRDefault="00AD691C" w:rsidP="00AD691C">
      <w:pPr>
        <w:jc w:val="both"/>
        <w:rPr>
          <w:rFonts w:ascii="Arial" w:hAnsi="Arial" w:cs="Arial"/>
        </w:rPr>
      </w:pPr>
    </w:p>
    <w:p w14:paraId="6F9B1605" w14:textId="77777777" w:rsidR="00AD691C" w:rsidRPr="00CE091B" w:rsidRDefault="00AD691C" w:rsidP="00AD691C">
      <w:pPr>
        <w:jc w:val="center"/>
        <w:rPr>
          <w:rStyle w:val="B1Char"/>
          <w:lang w:eastAsia="zh-CN"/>
        </w:rPr>
      </w:pPr>
      <w:r>
        <w:rPr>
          <w:rStyle w:val="B1Char"/>
          <w:rFonts w:hint="eastAsia"/>
          <w:lang w:eastAsia="zh-CN"/>
        </w:rPr>
        <w:t>T</w:t>
      </w:r>
      <w:r>
        <w:rPr>
          <w:rStyle w:val="B1Char"/>
          <w:lang w:eastAsia="zh-CN"/>
        </w:rPr>
        <w:t xml:space="preserve">able 1. </w:t>
      </w:r>
      <w:r>
        <w:rPr>
          <w:rStyle w:val="B1Char"/>
          <w:rFonts w:hint="eastAsia"/>
          <w:lang w:eastAsia="zh-CN"/>
        </w:rPr>
        <w:t>non-</w:t>
      </w:r>
      <w:r>
        <w:rPr>
          <w:rStyle w:val="B1Char"/>
          <w:lang w:eastAsia="zh-CN"/>
        </w:rPr>
        <w:t>OTA candidate solutions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C951DF" w14:paraId="19CDB02A" w14:textId="77777777">
        <w:tc>
          <w:tcPr>
            <w:tcW w:w="4957" w:type="dxa"/>
            <w:shd w:val="clear" w:color="auto" w:fill="auto"/>
          </w:tcPr>
          <w:p w14:paraId="2BA8C2AA" w14:textId="77777777" w:rsidR="00AD691C" w:rsidRDefault="00AD691C">
            <w:pPr>
              <w:jc w:val="center"/>
              <w:rPr>
                <w:rFonts w:ascii="CG Times (WN)" w:eastAsia="Calibri" w:hAnsi="CG Times (WN)"/>
                <w:b/>
                <w:bCs/>
                <w:lang w:val="en-US"/>
              </w:rPr>
            </w:pPr>
            <w:r>
              <w:rPr>
                <w:rFonts w:ascii="CG Times (WN)" w:eastAsia="Calibri" w:hAnsi="CG Times (WN)" w:hint="eastAsia"/>
                <w:b/>
                <w:bCs/>
                <w:lang w:val="en-US"/>
              </w:rPr>
              <w:t>O</w:t>
            </w:r>
            <w:r>
              <w:rPr>
                <w:rFonts w:ascii="CG Times (WN)" w:eastAsia="Calibri" w:hAnsi="CG Times (WN)"/>
                <w:b/>
                <w:bCs/>
                <w:lang w:val="en-US"/>
              </w:rPr>
              <w:t>ption</w:t>
            </w:r>
          </w:p>
        </w:tc>
        <w:tc>
          <w:tcPr>
            <w:tcW w:w="1559" w:type="dxa"/>
            <w:shd w:val="clear" w:color="auto" w:fill="auto"/>
          </w:tcPr>
          <w:p w14:paraId="0440CF8D" w14:textId="77777777" w:rsidR="00AD691C" w:rsidRDefault="00AD691C" w:rsidP="00665A8C">
            <w:pPr>
              <w:rPr>
                <w:rFonts w:ascii="CG Times (WN)" w:eastAsia="Calibri" w:hAnsi="CG Times (WN)"/>
                <w:b/>
                <w:bCs/>
                <w:lang w:val="en-US"/>
              </w:rPr>
            </w:pPr>
            <w:r>
              <w:rPr>
                <w:rFonts w:ascii="CG Times (WN)" w:eastAsia="Calibri" w:hAnsi="CG Times (WN)" w:hint="eastAsia"/>
                <w:b/>
                <w:bCs/>
                <w:lang w:val="en-US"/>
              </w:rPr>
              <w:t>I</w:t>
            </w:r>
            <w:r>
              <w:rPr>
                <w:rFonts w:ascii="CG Times (WN)" w:eastAsia="Calibri" w:hAnsi="CG Times (WN)"/>
                <w:b/>
                <w:bCs/>
                <w:lang w:val="en-US"/>
              </w:rPr>
              <w:t>mpacted WG</w:t>
            </w:r>
          </w:p>
        </w:tc>
        <w:tc>
          <w:tcPr>
            <w:tcW w:w="2835" w:type="dxa"/>
            <w:shd w:val="clear" w:color="auto" w:fill="auto"/>
          </w:tcPr>
          <w:p w14:paraId="4566F4E4" w14:textId="77777777" w:rsidR="00AD691C" w:rsidRDefault="00AD691C" w:rsidP="00665A8C">
            <w:pPr>
              <w:rPr>
                <w:rFonts w:ascii="CG Times (WN)" w:eastAsia="Calibri" w:hAnsi="CG Times (WN)"/>
                <w:b/>
                <w:bCs/>
                <w:lang w:val="en-US"/>
              </w:rPr>
            </w:pPr>
            <w:r>
              <w:rPr>
                <w:rFonts w:ascii="CG Times (WN)" w:eastAsia="Calibri" w:hAnsi="CG Times (WN)"/>
                <w:b/>
                <w:bCs/>
                <w:lang w:val="en-US"/>
              </w:rPr>
              <w:t>Specification impact/Implementation impact</w:t>
            </w:r>
          </w:p>
        </w:tc>
      </w:tr>
      <w:tr w:rsidR="00C951DF" w14:paraId="233D4A42" w14:textId="77777777">
        <w:tc>
          <w:tcPr>
            <w:tcW w:w="4957" w:type="dxa"/>
            <w:shd w:val="clear" w:color="auto" w:fill="auto"/>
          </w:tcPr>
          <w:p w14:paraId="02EBECDD" w14:textId="77777777" w:rsidR="00AD691C" w:rsidRDefault="00AD691C">
            <w:pPr>
              <w:suppressAutoHyphens/>
              <w:spacing w:before="120"/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u w:val="single"/>
                <w:lang w:val="en-US" w:eastAsia="zh-CN"/>
              </w:rPr>
              <w:t xml:space="preserve">OAM -&gt; UE-side training entity </w:t>
            </w:r>
            <w:r>
              <w:rPr>
                <w:rFonts w:ascii="CG Times (WN)" w:eastAsia="DengXian" w:hAnsi="CG Times (WN)"/>
                <w:lang w:val="en-US" w:eastAsia="zh-CN"/>
              </w:rPr>
              <w:t>(a server inside MNO or an OTT server)</w:t>
            </w:r>
            <w:bookmarkStart w:id="0" w:name="_Hlk195138904"/>
            <w:r>
              <w:rPr>
                <w:rFonts w:ascii="CG Times (WN)" w:eastAsia="DengXian" w:hAnsi="CG Times (WN)"/>
                <w:lang w:val="en-US" w:eastAsia="zh-CN"/>
              </w:rPr>
              <w:t>, where OAM is NW-side dataset/model parameter collection entity</w:t>
            </w:r>
            <w:bookmarkEnd w:id="0"/>
          </w:p>
        </w:tc>
        <w:tc>
          <w:tcPr>
            <w:tcW w:w="1559" w:type="dxa"/>
            <w:shd w:val="clear" w:color="auto" w:fill="auto"/>
          </w:tcPr>
          <w:p w14:paraId="2FEA9734" w14:textId="77777777" w:rsidR="00AD691C" w:rsidRDefault="00AD691C" w:rsidP="00665A8C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SA5, SA3</w:t>
            </w:r>
          </w:p>
        </w:tc>
        <w:tc>
          <w:tcPr>
            <w:tcW w:w="2835" w:type="dxa"/>
            <w:shd w:val="clear" w:color="auto" w:fill="auto"/>
          </w:tcPr>
          <w:p w14:paraId="55B77338" w14:textId="77777777" w:rsidR="00AD691C" w:rsidRDefault="00AD691C" w:rsidP="00665A8C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Up to SA5</w:t>
            </w:r>
          </w:p>
          <w:p w14:paraId="79CC0734" w14:textId="77777777" w:rsidR="00AD691C" w:rsidRDefault="00AD691C" w:rsidP="00665A8C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C951DF" w14:paraId="7DEF6167" w14:textId="77777777">
        <w:tc>
          <w:tcPr>
            <w:tcW w:w="4957" w:type="dxa"/>
            <w:shd w:val="clear" w:color="auto" w:fill="auto"/>
          </w:tcPr>
          <w:p w14:paraId="01567CE7" w14:textId="77777777" w:rsidR="00AD691C" w:rsidRDefault="00AD691C">
            <w:pPr>
              <w:suppressAutoHyphens/>
              <w:spacing w:before="120"/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u w:val="single"/>
                <w:lang w:val="en-US" w:eastAsia="zh-CN"/>
              </w:rPr>
              <w:t>CN -&gt; UE-side training entity</w:t>
            </w:r>
            <w:r>
              <w:rPr>
                <w:rFonts w:ascii="CG Times (WN)" w:eastAsia="DengXian" w:hAnsi="CG Times (WN)"/>
                <w:lang w:val="en-US" w:eastAsia="zh-CN"/>
              </w:rPr>
              <w:t xml:space="preserve"> (a server inside MNO or an OTT server)</w:t>
            </w:r>
            <w:bookmarkStart w:id="1" w:name="_Hlk195138895"/>
            <w:r>
              <w:rPr>
                <w:rFonts w:ascii="CG Times (WN)" w:eastAsia="DengXian" w:hAnsi="CG Times (WN)"/>
                <w:lang w:val="en-US" w:eastAsia="zh-CN"/>
              </w:rPr>
              <w:t>, where CN is NW-side dataset/model parameter collection entity</w:t>
            </w:r>
            <w:bookmarkEnd w:id="1"/>
          </w:p>
        </w:tc>
        <w:tc>
          <w:tcPr>
            <w:tcW w:w="1559" w:type="dxa"/>
            <w:shd w:val="clear" w:color="auto" w:fill="auto"/>
          </w:tcPr>
          <w:p w14:paraId="6E0262DC" w14:textId="77777777" w:rsidR="00AD691C" w:rsidRDefault="00AD691C" w:rsidP="00665A8C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SA2, SA3</w:t>
            </w:r>
          </w:p>
        </w:tc>
        <w:tc>
          <w:tcPr>
            <w:tcW w:w="2835" w:type="dxa"/>
            <w:shd w:val="clear" w:color="auto" w:fill="auto"/>
          </w:tcPr>
          <w:p w14:paraId="6C9793EC" w14:textId="77777777" w:rsidR="00AD691C" w:rsidRDefault="00AD691C" w:rsidP="00665A8C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Up to SA2</w:t>
            </w:r>
          </w:p>
          <w:p w14:paraId="0E12AFCF" w14:textId="77777777" w:rsidR="00AD691C" w:rsidRDefault="00AD691C" w:rsidP="00665A8C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(any intermediate node between CN and UE-side OTT server is up to SA2)</w:t>
            </w:r>
          </w:p>
        </w:tc>
      </w:tr>
      <w:tr w:rsidR="00C951DF" w14:paraId="0FE5DB1C" w14:textId="77777777">
        <w:tc>
          <w:tcPr>
            <w:tcW w:w="4957" w:type="dxa"/>
            <w:shd w:val="clear" w:color="auto" w:fill="auto"/>
          </w:tcPr>
          <w:p w14:paraId="63789803" w14:textId="77777777" w:rsidR="00AD691C" w:rsidRDefault="00AD691C">
            <w:pPr>
              <w:suppressAutoHyphens/>
              <w:spacing w:before="120"/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 w:hint="eastAsia"/>
                <w:u w:val="single"/>
                <w:lang w:val="en-US" w:eastAsia="zh-CN"/>
              </w:rPr>
              <w:t>g</w:t>
            </w:r>
            <w:r>
              <w:rPr>
                <w:rFonts w:ascii="CG Times (WN)" w:eastAsia="DengXian" w:hAnsi="CG Times (WN)"/>
                <w:u w:val="single"/>
                <w:lang w:val="en-US" w:eastAsia="zh-CN"/>
              </w:rPr>
              <w:t>NB -&gt; OAM/CN -&gt; UE-side training entity</w:t>
            </w:r>
            <w:r>
              <w:rPr>
                <w:rFonts w:ascii="CG Times (WN)" w:eastAsia="DengXian" w:hAnsi="CG Times (WN)"/>
                <w:lang w:val="en-US" w:eastAsia="zh-CN"/>
              </w:rPr>
              <w:t xml:space="preserve"> (a server inside MNO or an OTT server)</w:t>
            </w:r>
            <w:bookmarkStart w:id="2" w:name="_Hlk195138882"/>
            <w:r>
              <w:rPr>
                <w:rFonts w:ascii="CG Times (WN)" w:eastAsia="DengXian" w:hAnsi="CG Times (WN)"/>
                <w:lang w:val="en-US" w:eastAsia="zh-CN"/>
              </w:rPr>
              <w:t>, where gNB is NW-side dataset/model parameter collection entity</w:t>
            </w:r>
            <w:bookmarkEnd w:id="2"/>
          </w:p>
        </w:tc>
        <w:tc>
          <w:tcPr>
            <w:tcW w:w="1559" w:type="dxa"/>
            <w:shd w:val="clear" w:color="auto" w:fill="auto"/>
          </w:tcPr>
          <w:p w14:paraId="246CA500" w14:textId="77777777" w:rsidR="00AD691C" w:rsidRDefault="00AD691C" w:rsidP="00665A8C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 w:hint="eastAsia"/>
                <w:lang w:val="en-US" w:eastAsia="zh-CN"/>
              </w:rPr>
              <w:t>R</w:t>
            </w:r>
            <w:r>
              <w:rPr>
                <w:rFonts w:ascii="CG Times (WN)" w:eastAsia="DengXian" w:hAnsi="CG Times (WN)"/>
                <w:lang w:val="en-US" w:eastAsia="zh-CN"/>
              </w:rPr>
              <w:t>AN3, SA2, SA5, SA3</w:t>
            </w:r>
          </w:p>
        </w:tc>
        <w:tc>
          <w:tcPr>
            <w:tcW w:w="2835" w:type="dxa"/>
            <w:shd w:val="clear" w:color="auto" w:fill="auto"/>
          </w:tcPr>
          <w:p w14:paraId="7702B8C7" w14:textId="77777777" w:rsidR="00AD691C" w:rsidRDefault="00AD691C" w:rsidP="00665A8C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Up to RAN3, SA2, SA5</w:t>
            </w:r>
          </w:p>
          <w:p w14:paraId="3E77AAF2" w14:textId="77777777" w:rsidR="00AD691C" w:rsidRDefault="00AD691C" w:rsidP="00665A8C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(any intermediate node between gNB/OAM, OAM/UE-side OTT server, CN/UE-side OTT server is up to RAN3/SA2/SA5)</w:t>
            </w:r>
          </w:p>
        </w:tc>
      </w:tr>
    </w:tbl>
    <w:p w14:paraId="001388CF" w14:textId="77777777" w:rsidR="00AD691C" w:rsidRDefault="00AD691C" w:rsidP="00AD691C">
      <w:pPr>
        <w:rPr>
          <w:rFonts w:ascii="Arial" w:hAnsi="Arial" w:cs="Arial"/>
        </w:rPr>
      </w:pPr>
    </w:p>
    <w:p w14:paraId="5984C42F" w14:textId="77777777" w:rsidR="00AD691C" w:rsidRDefault="00AD691C" w:rsidP="00834A32">
      <w:pPr>
        <w:rPr>
          <w:rFonts w:ascii="Arial" w:hAnsi="Arial" w:cs="Arial"/>
        </w:rPr>
      </w:pPr>
    </w:p>
    <w:p w14:paraId="62F04FE8" w14:textId="382AB594" w:rsidR="00C37AA0" w:rsidRDefault="00C37AA0" w:rsidP="00834A32">
      <w:pPr>
        <w:rPr>
          <w:rFonts w:ascii="Arial" w:hAnsi="Arial" w:cs="Arial"/>
        </w:rPr>
      </w:pPr>
      <w:r w:rsidRPr="00C37AA0">
        <w:rPr>
          <w:rFonts w:ascii="Arial" w:hAnsi="Arial" w:cs="Arial"/>
        </w:rPr>
        <w:t xml:space="preserve">SA2 </w:t>
      </w:r>
      <w:r w:rsidR="00834A32">
        <w:rPr>
          <w:rFonts w:ascii="Arial" w:hAnsi="Arial" w:cs="Arial"/>
        </w:rPr>
        <w:t xml:space="preserve">discussed the corresponding solutions </w:t>
      </w:r>
      <w:r w:rsidR="006A7F38">
        <w:rPr>
          <w:rFonts w:ascii="Arial" w:hAnsi="Arial" w:cs="Arial"/>
        </w:rPr>
        <w:t xml:space="preserve">and </w:t>
      </w:r>
      <w:r w:rsidR="00AD691C">
        <w:rPr>
          <w:rFonts w:ascii="Arial" w:hAnsi="Arial" w:cs="Arial"/>
        </w:rPr>
        <w:t>approved</w:t>
      </w:r>
      <w:r w:rsidR="006A7F38">
        <w:rPr>
          <w:rFonts w:ascii="Arial" w:hAnsi="Arial" w:cs="Arial"/>
        </w:rPr>
        <w:t xml:space="preserve"> the following </w:t>
      </w:r>
      <w:r w:rsidR="00AD691C">
        <w:rPr>
          <w:rFonts w:ascii="Arial" w:hAnsi="Arial" w:cs="Arial"/>
        </w:rPr>
        <w:t>conclusions.</w:t>
      </w:r>
    </w:p>
    <w:p w14:paraId="45169297" w14:textId="77777777" w:rsidR="00F52345" w:rsidRDefault="00F52345" w:rsidP="00834A32">
      <w:pPr>
        <w:rPr>
          <w:rFonts w:ascii="Arial" w:hAnsi="Arial" w:cs="Arial"/>
        </w:rPr>
      </w:pPr>
    </w:p>
    <w:p w14:paraId="34446694" w14:textId="77777777" w:rsidR="006F2E31" w:rsidRPr="006F2E31" w:rsidRDefault="00AD691C" w:rsidP="00834A32">
      <w:pPr>
        <w:rPr>
          <w:rFonts w:ascii="Arial" w:hAnsi="Arial" w:cs="Arial"/>
          <w:u w:val="single"/>
        </w:rPr>
      </w:pPr>
      <w:r w:rsidRPr="006F2E31">
        <w:rPr>
          <w:rFonts w:ascii="Arial" w:hAnsi="Arial" w:cs="Arial"/>
          <w:u w:val="single"/>
        </w:rPr>
        <w:t>CN -&gt; UE-side training entity</w:t>
      </w:r>
      <w:r w:rsidR="002E795E" w:rsidRPr="006F2E31">
        <w:rPr>
          <w:rFonts w:ascii="Arial" w:hAnsi="Arial" w:cs="Arial"/>
          <w:u w:val="single"/>
        </w:rPr>
        <w:t xml:space="preserve"> solution</w:t>
      </w:r>
      <w:r w:rsidRPr="006F2E31">
        <w:rPr>
          <w:rFonts w:ascii="Arial" w:hAnsi="Arial" w:cs="Arial"/>
          <w:u w:val="single"/>
        </w:rPr>
        <w:t xml:space="preserve"> </w:t>
      </w:r>
    </w:p>
    <w:p w14:paraId="42A555F8" w14:textId="77777777" w:rsidR="006F2E31" w:rsidRDefault="006F2E31" w:rsidP="00834A32">
      <w:pPr>
        <w:rPr>
          <w:rFonts w:ascii="Arial" w:hAnsi="Arial" w:cs="Arial"/>
        </w:rPr>
      </w:pPr>
    </w:p>
    <w:p w14:paraId="36075CA5" w14:textId="77777777" w:rsidR="00B14E78" w:rsidRDefault="006F2E31" w:rsidP="00834A32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AD691C">
        <w:rPr>
          <w:rFonts w:ascii="Arial" w:hAnsi="Arial" w:cs="Arial"/>
        </w:rPr>
        <w:t xml:space="preserve">he UE-side training entity is the AF in trusted domain or untrusted domain. </w:t>
      </w:r>
    </w:p>
    <w:p w14:paraId="11119470" w14:textId="193F8CC0" w:rsidR="00AD691C" w:rsidRDefault="00002E52" w:rsidP="00834A3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It</w:t>
      </w:r>
      <w:r w:rsidR="00141490">
        <w:rPr>
          <w:rFonts w:ascii="Arial" w:hAnsi="Arial" w:cs="Arial"/>
        </w:rPr>
        <w:t xml:space="preserve"> is </w:t>
      </w:r>
      <w:r w:rsidR="00D06701">
        <w:rPr>
          <w:rFonts w:ascii="Arial" w:hAnsi="Arial" w:cs="Arial"/>
        </w:rPr>
        <w:t>already support</w:t>
      </w:r>
      <w:r>
        <w:rPr>
          <w:rFonts w:ascii="Arial" w:hAnsi="Arial" w:cs="Arial"/>
        </w:rPr>
        <w:t>ed</w:t>
      </w:r>
      <w:r w:rsidR="00D06701">
        <w:rPr>
          <w:rFonts w:ascii="Arial" w:hAnsi="Arial" w:cs="Arial"/>
        </w:rPr>
        <w:t xml:space="preserve"> the </w:t>
      </w:r>
      <w:r w:rsidR="0036396F">
        <w:rPr>
          <w:rFonts w:ascii="Arial" w:hAnsi="Arial" w:cs="Arial"/>
        </w:rPr>
        <w:t>External Exposure of Network Capability</w:t>
      </w:r>
      <w:r>
        <w:rPr>
          <w:rFonts w:ascii="Arial" w:hAnsi="Arial" w:cs="Arial"/>
        </w:rPr>
        <w:t xml:space="preserve"> by CN</w:t>
      </w:r>
      <w:r w:rsidR="0036396F">
        <w:rPr>
          <w:rFonts w:ascii="Arial" w:hAnsi="Arial" w:cs="Arial"/>
        </w:rPr>
        <w:t xml:space="preserve"> as described in clause 5.20 in TS 23.501. </w:t>
      </w:r>
      <w:r w:rsidR="00286922">
        <w:rPr>
          <w:rFonts w:ascii="Arial" w:hAnsi="Arial" w:cs="Arial"/>
        </w:rPr>
        <w:t>I</w:t>
      </w:r>
      <w:r w:rsidR="00F52345">
        <w:rPr>
          <w:rFonts w:ascii="Arial" w:hAnsi="Arial" w:cs="Arial"/>
        </w:rPr>
        <w:t xml:space="preserve">t is also defined </w:t>
      </w:r>
      <w:r w:rsidR="003F4D64">
        <w:rPr>
          <w:rFonts w:ascii="Arial" w:hAnsi="Arial" w:cs="Arial"/>
        </w:rPr>
        <w:t xml:space="preserve">that AF is allowed to interact with the 3GPP core network to access the Network Exposure Function </w:t>
      </w:r>
      <w:r w:rsidR="00F52345">
        <w:rPr>
          <w:rFonts w:ascii="Arial" w:hAnsi="Arial" w:cs="Arial"/>
        </w:rPr>
        <w:t>in clause 6.2.10 in TS 23.501</w:t>
      </w:r>
      <w:r w:rsidR="00286922">
        <w:rPr>
          <w:rFonts w:ascii="Arial" w:hAnsi="Arial" w:cs="Arial"/>
        </w:rPr>
        <w:t xml:space="preserve"> as below:</w:t>
      </w:r>
    </w:p>
    <w:p w14:paraId="64E1586D" w14:textId="463A2C3D" w:rsidR="000530AC" w:rsidRPr="000530AC" w:rsidRDefault="000530AC" w:rsidP="000530AC">
      <w:pPr>
        <w:numPr>
          <w:ilvl w:val="0"/>
          <w:numId w:val="17"/>
        </w:numPr>
        <w:rPr>
          <w:rFonts w:ascii="Arial" w:hAnsi="Arial" w:cs="Arial"/>
        </w:rPr>
      </w:pPr>
      <w:r w:rsidRPr="000530AC">
        <w:rPr>
          <w:rFonts w:ascii="Arial" w:hAnsi="Arial" w:cs="Arial"/>
        </w:rPr>
        <w:t>Based on operator deployment, Application Functions considered to be trusted by the operator can be allowed to interact directly with relevant Network Functions.</w:t>
      </w:r>
    </w:p>
    <w:p w14:paraId="1CBFEE61" w14:textId="09A7B908" w:rsidR="000530AC" w:rsidRPr="000530AC" w:rsidRDefault="000530AC" w:rsidP="000530AC">
      <w:pPr>
        <w:numPr>
          <w:ilvl w:val="0"/>
          <w:numId w:val="17"/>
        </w:numPr>
        <w:rPr>
          <w:rFonts w:ascii="Arial" w:hAnsi="Arial" w:cs="Arial"/>
        </w:rPr>
      </w:pPr>
      <w:r w:rsidRPr="000530AC">
        <w:rPr>
          <w:rFonts w:ascii="Arial" w:hAnsi="Arial" w:cs="Arial"/>
        </w:rPr>
        <w:t xml:space="preserve">Application Functions not allowed by the operator to </w:t>
      </w:r>
      <w:proofErr w:type="gramStart"/>
      <w:r w:rsidRPr="000530AC">
        <w:rPr>
          <w:rFonts w:ascii="Arial" w:hAnsi="Arial" w:cs="Arial"/>
        </w:rPr>
        <w:t>access directly</w:t>
      </w:r>
      <w:proofErr w:type="gramEnd"/>
      <w:r w:rsidRPr="000530AC">
        <w:rPr>
          <w:rFonts w:ascii="Arial" w:hAnsi="Arial" w:cs="Arial"/>
        </w:rPr>
        <w:t xml:space="preserve"> the Network Functions shall use the external exposure framework (see clause 7.3) via the NEF to interact with relevant Network Functions.</w:t>
      </w:r>
    </w:p>
    <w:p w14:paraId="26BDFEA8" w14:textId="77777777" w:rsidR="002E795E" w:rsidRDefault="002E795E" w:rsidP="00834A32">
      <w:pPr>
        <w:rPr>
          <w:rFonts w:ascii="Arial" w:hAnsi="Arial" w:cs="Arial"/>
        </w:rPr>
      </w:pPr>
    </w:p>
    <w:p w14:paraId="4D7936C0" w14:textId="3ADE12BC" w:rsidR="00286922" w:rsidRDefault="00FB4927" w:rsidP="00834A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SA2 is not clear where </w:t>
      </w:r>
      <w:r w:rsidR="00C46774">
        <w:rPr>
          <w:rFonts w:ascii="Arial" w:hAnsi="Arial" w:cs="Arial"/>
        </w:rPr>
        <w:t xml:space="preserve">is the data source to provide the </w:t>
      </w:r>
      <w:r w:rsidR="00C46774" w:rsidRPr="009D497E">
        <w:rPr>
          <w:rFonts w:ascii="Arial" w:hAnsi="Arial" w:cs="Arial"/>
        </w:rPr>
        <w:t>dataset and parameter</w:t>
      </w:r>
      <w:r w:rsidR="00C46774">
        <w:rPr>
          <w:rFonts w:ascii="Arial" w:hAnsi="Arial" w:cs="Arial"/>
        </w:rPr>
        <w:t>s</w:t>
      </w:r>
      <w:r w:rsidR="002E4A97">
        <w:rPr>
          <w:rFonts w:ascii="Arial" w:hAnsi="Arial" w:cs="Arial"/>
        </w:rPr>
        <w:t xml:space="preserve"> to CN</w:t>
      </w:r>
      <w:r w:rsidR="00C46774">
        <w:rPr>
          <w:rFonts w:ascii="Arial" w:hAnsi="Arial" w:cs="Arial"/>
        </w:rPr>
        <w:t xml:space="preserve"> </w:t>
      </w:r>
      <w:r w:rsidR="000530AC">
        <w:rPr>
          <w:rFonts w:ascii="Arial" w:hAnsi="Arial" w:cs="Arial"/>
        </w:rPr>
        <w:t xml:space="preserve">and how does </w:t>
      </w:r>
      <w:r w:rsidR="00002E52">
        <w:rPr>
          <w:rFonts w:ascii="Arial" w:hAnsi="Arial" w:cs="Arial"/>
        </w:rPr>
        <w:t>CN</w:t>
      </w:r>
      <w:r w:rsidR="000530AC">
        <w:rPr>
          <w:rFonts w:ascii="Arial" w:hAnsi="Arial" w:cs="Arial"/>
        </w:rPr>
        <w:t xml:space="preserve"> </w:t>
      </w:r>
      <w:r w:rsidR="00C46774">
        <w:rPr>
          <w:rFonts w:ascii="Arial" w:hAnsi="Arial" w:cs="Arial"/>
        </w:rPr>
        <w:t>to retrieve</w:t>
      </w:r>
      <w:r w:rsidR="000530AC">
        <w:rPr>
          <w:rFonts w:ascii="Arial" w:hAnsi="Arial" w:cs="Arial"/>
        </w:rPr>
        <w:t xml:space="preserve"> the </w:t>
      </w:r>
      <w:r w:rsidR="000530AC" w:rsidRPr="009D497E">
        <w:rPr>
          <w:rFonts w:ascii="Arial" w:hAnsi="Arial" w:cs="Arial"/>
        </w:rPr>
        <w:t>dataset and parameter</w:t>
      </w:r>
      <w:r w:rsidR="000530AC">
        <w:rPr>
          <w:rFonts w:ascii="Arial" w:hAnsi="Arial" w:cs="Arial"/>
        </w:rPr>
        <w:t xml:space="preserve">s that </w:t>
      </w:r>
      <w:r w:rsidR="00A7177D">
        <w:rPr>
          <w:rFonts w:ascii="Arial" w:hAnsi="Arial" w:cs="Arial"/>
        </w:rPr>
        <w:t xml:space="preserve">required to transfer to the </w:t>
      </w:r>
      <w:r w:rsidR="00A7177D" w:rsidRPr="00A7177D">
        <w:rPr>
          <w:rFonts w:ascii="Arial" w:hAnsi="Arial" w:cs="Arial"/>
        </w:rPr>
        <w:t>UE-side training entity</w:t>
      </w:r>
      <w:r w:rsidR="00A7177D">
        <w:rPr>
          <w:rFonts w:ascii="Arial" w:hAnsi="Arial" w:cs="Arial"/>
        </w:rPr>
        <w:t>.</w:t>
      </w:r>
    </w:p>
    <w:p w14:paraId="1C70979B" w14:textId="77777777" w:rsidR="00E4205C" w:rsidRDefault="00E4205C" w:rsidP="00834A32">
      <w:pPr>
        <w:rPr>
          <w:rFonts w:ascii="Arial" w:hAnsi="Arial" w:cs="Arial"/>
        </w:rPr>
      </w:pPr>
    </w:p>
    <w:p w14:paraId="6BBFFC3D" w14:textId="471428BC" w:rsidR="00E4205C" w:rsidRDefault="00E4205C" w:rsidP="00834A32">
      <w:pPr>
        <w:rPr>
          <w:rFonts w:ascii="Arial" w:hAnsi="Arial" w:cs="Arial"/>
        </w:rPr>
      </w:pPr>
      <w:r>
        <w:rPr>
          <w:rFonts w:ascii="CG Times (WN)" w:eastAsia="DengXian" w:hAnsi="CG Times (WN)" w:hint="eastAsia"/>
          <w:u w:val="single"/>
          <w:lang w:val="en-US" w:eastAsia="zh-CN"/>
        </w:rPr>
        <w:t>g</w:t>
      </w:r>
      <w:r>
        <w:rPr>
          <w:rFonts w:ascii="CG Times (WN)" w:eastAsia="DengXian" w:hAnsi="CG Times (WN)"/>
          <w:u w:val="single"/>
          <w:lang w:val="en-US" w:eastAsia="zh-CN"/>
        </w:rPr>
        <w:t>NB -&gt; OAM/CN -&gt; UE-side training entity</w:t>
      </w:r>
    </w:p>
    <w:p w14:paraId="33F8CDA6" w14:textId="77777777" w:rsidR="00C46774" w:rsidRDefault="00C46774" w:rsidP="00834A32">
      <w:pPr>
        <w:rPr>
          <w:rFonts w:ascii="Arial" w:hAnsi="Arial" w:cs="Arial"/>
        </w:rPr>
      </w:pPr>
    </w:p>
    <w:p w14:paraId="5D1163C1" w14:textId="27285A6D" w:rsidR="00E4205C" w:rsidRDefault="00343A83" w:rsidP="00834A32">
      <w:pPr>
        <w:rPr>
          <w:rFonts w:ascii="Arial" w:hAnsi="Arial" w:cs="Arial"/>
        </w:rPr>
      </w:pPr>
      <w:r>
        <w:rPr>
          <w:rFonts w:ascii="Arial" w:hAnsi="Arial" w:cs="Arial"/>
        </w:rPr>
        <w:t>gNB -&gt; OAM -&gt; UE-side training entity should be discussed in SA5.</w:t>
      </w:r>
    </w:p>
    <w:p w14:paraId="2B1159A5" w14:textId="77777777" w:rsidR="006766F8" w:rsidRDefault="006766F8" w:rsidP="00834A32">
      <w:pPr>
        <w:rPr>
          <w:rFonts w:ascii="Arial" w:hAnsi="Arial" w:cs="Arial"/>
        </w:rPr>
      </w:pPr>
    </w:p>
    <w:p w14:paraId="773FE976" w14:textId="728CB5AD" w:rsidR="00343A83" w:rsidRDefault="00275DF6" w:rsidP="00834A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343A83">
        <w:rPr>
          <w:rFonts w:ascii="Arial" w:hAnsi="Arial" w:cs="Arial"/>
        </w:rPr>
        <w:t>gNB -&gt; CN -&gt; UE-side training entity</w:t>
      </w:r>
      <w:r>
        <w:rPr>
          <w:rFonts w:ascii="Arial" w:hAnsi="Arial" w:cs="Arial"/>
        </w:rPr>
        <w:t xml:space="preserve">, as described above, it is feasible to expose information from CN to UE-side training entity. However, it is not supported to transfer data from gNB to CN in </w:t>
      </w:r>
      <w:r w:rsidR="00914236">
        <w:rPr>
          <w:rFonts w:ascii="Arial" w:hAnsi="Arial" w:cs="Arial"/>
        </w:rPr>
        <w:t>Rel-19</w:t>
      </w:r>
      <w:r>
        <w:rPr>
          <w:rFonts w:ascii="Arial" w:hAnsi="Arial" w:cs="Arial"/>
        </w:rPr>
        <w:t xml:space="preserve"> SA2 spec.</w:t>
      </w:r>
    </w:p>
    <w:p w14:paraId="0CE0ECEB" w14:textId="77777777" w:rsidR="006766F8" w:rsidRDefault="006766F8" w:rsidP="00834A32">
      <w:pPr>
        <w:rPr>
          <w:rFonts w:ascii="Arial" w:hAnsi="Arial" w:cs="Arial"/>
        </w:rPr>
      </w:pPr>
    </w:p>
    <w:p w14:paraId="2F8B619D" w14:textId="59AA1855" w:rsidR="00275DF6" w:rsidRDefault="00275DF6" w:rsidP="00834A32">
      <w:pPr>
        <w:rPr>
          <w:rFonts w:ascii="Arial" w:hAnsi="Arial" w:cs="Arial"/>
        </w:rPr>
      </w:pPr>
      <w:r>
        <w:rPr>
          <w:rFonts w:ascii="Arial" w:hAnsi="Arial" w:cs="Arial"/>
        </w:rPr>
        <w:t>Considering another option gNB-&gt; OAM -&gt; CN -&gt; UE-side training entity,</w:t>
      </w:r>
      <w:r w:rsidR="002F669A">
        <w:rPr>
          <w:rFonts w:ascii="Arial" w:hAnsi="Arial" w:cs="Arial"/>
        </w:rPr>
        <w:t xml:space="preserve"> SA2 thinks it is feasible </w:t>
      </w:r>
      <w:r w:rsidR="00E55524">
        <w:rPr>
          <w:rFonts w:ascii="Arial" w:hAnsi="Arial" w:cs="Arial"/>
        </w:rPr>
        <w:t>to transfer data from gNB to OAM.</w:t>
      </w:r>
      <w:r>
        <w:rPr>
          <w:rFonts w:ascii="Arial" w:hAnsi="Arial" w:cs="Arial"/>
        </w:rPr>
        <w:t xml:space="preserve"> </w:t>
      </w:r>
      <w:r w:rsidR="00667DE5">
        <w:rPr>
          <w:rFonts w:ascii="Arial" w:hAnsi="Arial" w:cs="Arial"/>
        </w:rPr>
        <w:t>It</w:t>
      </w:r>
      <w:r w:rsidR="00074F72">
        <w:rPr>
          <w:rFonts w:ascii="Arial" w:hAnsi="Arial" w:cs="Arial"/>
        </w:rPr>
        <w:t xml:space="preserve"> is already supported to collect information from OAM </w:t>
      </w:r>
      <w:r w:rsidR="00C729D6">
        <w:rPr>
          <w:rFonts w:ascii="Arial" w:hAnsi="Arial" w:cs="Arial"/>
        </w:rPr>
        <w:t xml:space="preserve">to </w:t>
      </w:r>
      <w:r w:rsidR="00691F66">
        <w:rPr>
          <w:rFonts w:ascii="Arial" w:hAnsi="Arial" w:cs="Arial"/>
        </w:rPr>
        <w:t>CN</w:t>
      </w:r>
      <w:r w:rsidR="00C729D6">
        <w:rPr>
          <w:rFonts w:ascii="Arial" w:hAnsi="Arial" w:cs="Arial"/>
        </w:rPr>
        <w:t xml:space="preserve"> for different </w:t>
      </w:r>
      <w:r w:rsidR="00563D6F">
        <w:rPr>
          <w:rFonts w:ascii="Arial" w:hAnsi="Arial" w:cs="Arial"/>
        </w:rPr>
        <w:t>features</w:t>
      </w:r>
      <w:r w:rsidR="00667DE5">
        <w:rPr>
          <w:rFonts w:ascii="Arial" w:hAnsi="Arial" w:cs="Arial"/>
        </w:rPr>
        <w:t xml:space="preserve"> in SA2</w:t>
      </w:r>
      <w:r w:rsidR="007A43BC">
        <w:rPr>
          <w:rFonts w:ascii="Arial" w:hAnsi="Arial" w:cs="Arial"/>
        </w:rPr>
        <w:t>.</w:t>
      </w:r>
      <w:r w:rsidR="004B2083">
        <w:rPr>
          <w:rFonts w:ascii="Arial" w:hAnsi="Arial" w:cs="Arial"/>
        </w:rPr>
        <w:t xml:space="preserve"> </w:t>
      </w:r>
      <w:r w:rsidR="007A43BC">
        <w:rPr>
          <w:rFonts w:ascii="Arial" w:hAnsi="Arial" w:cs="Arial"/>
        </w:rPr>
        <w:t>H</w:t>
      </w:r>
      <w:r w:rsidR="00563D6F">
        <w:rPr>
          <w:rFonts w:ascii="Arial" w:hAnsi="Arial" w:cs="Arial"/>
        </w:rPr>
        <w:t xml:space="preserve">owever, </w:t>
      </w:r>
      <w:r w:rsidR="0031255A">
        <w:rPr>
          <w:rFonts w:ascii="Arial" w:hAnsi="Arial" w:cs="Arial"/>
        </w:rPr>
        <w:t>it is not</w:t>
      </w:r>
      <w:r w:rsidR="00FA1C1C">
        <w:rPr>
          <w:rFonts w:ascii="Arial" w:hAnsi="Arial" w:cs="Arial"/>
        </w:rPr>
        <w:t xml:space="preserve"> currently</w:t>
      </w:r>
      <w:r w:rsidR="0031255A">
        <w:rPr>
          <w:rFonts w:ascii="Arial" w:hAnsi="Arial" w:cs="Arial"/>
        </w:rPr>
        <w:t xml:space="preserve"> support</w:t>
      </w:r>
      <w:r w:rsidR="006766F8">
        <w:rPr>
          <w:rFonts w:ascii="Arial" w:hAnsi="Arial" w:cs="Arial"/>
        </w:rPr>
        <w:t>ed</w:t>
      </w:r>
      <w:r w:rsidR="0031255A">
        <w:rPr>
          <w:rFonts w:ascii="Arial" w:hAnsi="Arial" w:cs="Arial"/>
        </w:rPr>
        <w:t xml:space="preserve"> to expose the information from OAM to AF</w:t>
      </w:r>
      <w:r w:rsidR="006766F8">
        <w:rPr>
          <w:rFonts w:ascii="Arial" w:hAnsi="Arial" w:cs="Arial"/>
        </w:rPr>
        <w:t xml:space="preserve"> via </w:t>
      </w:r>
      <w:r w:rsidR="00691F66">
        <w:rPr>
          <w:rFonts w:ascii="Arial" w:hAnsi="Arial" w:cs="Arial"/>
        </w:rPr>
        <w:t>CN</w:t>
      </w:r>
      <w:r w:rsidR="006766F8">
        <w:rPr>
          <w:rFonts w:ascii="Arial" w:hAnsi="Arial" w:cs="Arial"/>
        </w:rPr>
        <w:t xml:space="preserve"> in </w:t>
      </w:r>
      <w:r w:rsidR="006F327E">
        <w:rPr>
          <w:rFonts w:ascii="Arial" w:hAnsi="Arial" w:cs="Arial"/>
        </w:rPr>
        <w:t>Rel-19</w:t>
      </w:r>
      <w:r w:rsidR="006766F8">
        <w:rPr>
          <w:rFonts w:ascii="Arial" w:hAnsi="Arial" w:cs="Arial"/>
        </w:rPr>
        <w:t xml:space="preserve"> SA2 spec.</w:t>
      </w:r>
    </w:p>
    <w:p w14:paraId="02E8E154" w14:textId="77777777" w:rsidR="00C2246A" w:rsidRDefault="00C2246A" w:rsidP="00834A32">
      <w:pPr>
        <w:rPr>
          <w:rFonts w:ascii="Arial" w:hAnsi="Arial" w:cs="Arial"/>
        </w:rPr>
      </w:pPr>
    </w:p>
    <w:p w14:paraId="15D30298" w14:textId="19449C4F" w:rsidR="00C37AA0" w:rsidRPr="00AB70F8" w:rsidRDefault="00661BC8">
      <w:pPr>
        <w:rPr>
          <w:rFonts w:ascii="Arial" w:hAnsi="Arial" w:cs="Arial"/>
        </w:rPr>
      </w:pPr>
      <w:r w:rsidRPr="005F1B56">
        <w:rPr>
          <w:rFonts w:ascii="Arial" w:hAnsi="Arial" w:cs="Arial"/>
        </w:rPr>
        <w:t xml:space="preserve">SA2 does not have plan to study this </w:t>
      </w:r>
      <w:r w:rsidR="00FA1C1C" w:rsidRPr="005F1B56">
        <w:rPr>
          <w:rFonts w:ascii="Arial" w:hAnsi="Arial" w:cs="Arial"/>
        </w:rPr>
        <w:t xml:space="preserve">subject </w:t>
      </w:r>
      <w:r w:rsidRPr="005F1B56">
        <w:rPr>
          <w:rFonts w:ascii="Arial" w:hAnsi="Arial" w:cs="Arial"/>
        </w:rPr>
        <w:t>in Rel-20</w:t>
      </w:r>
      <w:r w:rsidR="00FA1C1C" w:rsidRPr="005F1B56">
        <w:rPr>
          <w:rFonts w:ascii="Arial" w:hAnsi="Arial" w:cs="Arial"/>
        </w:rPr>
        <w:t xml:space="preserve"> for 5GA (see approved SID in </w:t>
      </w:r>
      <w:hyperlink r:id="rId11" w:history="1">
        <w:r w:rsidR="00FA1C1C" w:rsidRPr="00137EC3">
          <w:t>SP-250413</w:t>
        </w:r>
      </w:hyperlink>
      <w:r w:rsidR="00FA1C1C" w:rsidRPr="005F1B56">
        <w:rPr>
          <w:rFonts w:ascii="Arial" w:hAnsi="Arial" w:cs="Arial"/>
        </w:rPr>
        <w:t xml:space="preserve">). </w:t>
      </w:r>
      <w:r w:rsidR="006B3CC5" w:rsidRPr="005F1B56">
        <w:rPr>
          <w:rFonts w:ascii="Arial" w:hAnsi="Arial" w:cs="Arial"/>
        </w:rPr>
        <w:t xml:space="preserve"> </w:t>
      </w:r>
      <w:r w:rsidR="00FA1C1C" w:rsidRPr="005F1B56">
        <w:rPr>
          <w:rFonts w:ascii="Arial" w:hAnsi="Arial" w:cs="Arial"/>
        </w:rPr>
        <w:t xml:space="preserve">The </w:t>
      </w:r>
      <w:r w:rsidR="006B3CC5" w:rsidRPr="005F1B56">
        <w:rPr>
          <w:rFonts w:ascii="Arial" w:hAnsi="Arial" w:cs="Arial"/>
        </w:rPr>
        <w:t>status in SA2 for 5G</w:t>
      </w:r>
      <w:r w:rsidR="00FA1C1C" w:rsidRPr="005F1B56">
        <w:rPr>
          <w:rFonts w:ascii="Arial" w:hAnsi="Arial" w:cs="Arial"/>
        </w:rPr>
        <w:t>A</w:t>
      </w:r>
      <w:r w:rsidR="006B3CC5" w:rsidRPr="005F1B56">
        <w:rPr>
          <w:rFonts w:ascii="Arial" w:hAnsi="Arial" w:cs="Arial"/>
        </w:rPr>
        <w:t xml:space="preserve"> should not limit the discussion </w:t>
      </w:r>
      <w:r w:rsidR="007321EB" w:rsidRPr="005F1B56">
        <w:rPr>
          <w:rFonts w:ascii="Arial" w:hAnsi="Arial" w:cs="Arial"/>
        </w:rPr>
        <w:t>for SA2 in 6G.</w:t>
      </w:r>
    </w:p>
    <w:p w14:paraId="27ABBB8A" w14:textId="77777777" w:rsidR="00C37AA0" w:rsidRDefault="00C37AA0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4FC75F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2246A" w:rsidRPr="00C2246A">
        <w:rPr>
          <w:rFonts w:ascii="Arial" w:hAnsi="Arial" w:cs="Arial"/>
          <w:b/>
        </w:rPr>
        <w:t>RAN1, RAN2, 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2CB4042C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468E2">
        <w:rPr>
          <w:rFonts w:ascii="Arial" w:hAnsi="Arial" w:cs="Arial"/>
        </w:rPr>
        <w:t>SA2 asks RAN1, RAN2 and RAN3 to consider the above information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18BA766" w14:textId="34036115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  <w:t>China (</w:t>
      </w:r>
      <w:r>
        <w:rPr>
          <w:rFonts w:ascii="Arial" w:hAnsi="Arial" w:cs="Arial"/>
          <w:bCs/>
        </w:rPr>
        <w:t>TBD)</w:t>
      </w:r>
    </w:p>
    <w:p w14:paraId="1FAAA095" w14:textId="77777777" w:rsidR="00A44C42" w:rsidRPr="002454D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454D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454D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454D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454D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90207" w14:textId="77777777" w:rsidR="00D60BDD" w:rsidRDefault="00D60BDD">
      <w:r>
        <w:separator/>
      </w:r>
    </w:p>
  </w:endnote>
  <w:endnote w:type="continuationSeparator" w:id="0">
    <w:p w14:paraId="72007FF0" w14:textId="77777777" w:rsidR="00D60BDD" w:rsidRDefault="00D60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ADBD6" w14:textId="77777777" w:rsidR="00D60BDD" w:rsidRDefault="00D60BDD">
      <w:r>
        <w:separator/>
      </w:r>
    </w:p>
  </w:footnote>
  <w:footnote w:type="continuationSeparator" w:id="0">
    <w:p w14:paraId="1EBF7BF1" w14:textId="77777777" w:rsidR="00D60BDD" w:rsidRDefault="00D60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A7E7C"/>
    <w:multiLevelType w:val="hybridMultilevel"/>
    <w:tmpl w:val="D7C2E784"/>
    <w:lvl w:ilvl="0" w:tplc="87D21D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1"/>
  </w:num>
  <w:num w:numId="17" w16cid:durableId="183946518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2E52"/>
    <w:rsid w:val="0000385D"/>
    <w:rsid w:val="00006D55"/>
    <w:rsid w:val="00011E59"/>
    <w:rsid w:val="00022C70"/>
    <w:rsid w:val="000233A4"/>
    <w:rsid w:val="000275EB"/>
    <w:rsid w:val="0003296E"/>
    <w:rsid w:val="000468E2"/>
    <w:rsid w:val="00051102"/>
    <w:rsid w:val="000530AC"/>
    <w:rsid w:val="000534DD"/>
    <w:rsid w:val="00066AAD"/>
    <w:rsid w:val="00074F72"/>
    <w:rsid w:val="00077A67"/>
    <w:rsid w:val="000853EA"/>
    <w:rsid w:val="000901E3"/>
    <w:rsid w:val="00092844"/>
    <w:rsid w:val="000A468F"/>
    <w:rsid w:val="000B08DF"/>
    <w:rsid w:val="000B70AE"/>
    <w:rsid w:val="000C2182"/>
    <w:rsid w:val="000C2B99"/>
    <w:rsid w:val="000C4018"/>
    <w:rsid w:val="000C6CA1"/>
    <w:rsid w:val="000D61B9"/>
    <w:rsid w:val="000E7FEC"/>
    <w:rsid w:val="000F08AB"/>
    <w:rsid w:val="000F2149"/>
    <w:rsid w:val="000F4E43"/>
    <w:rsid w:val="00103005"/>
    <w:rsid w:val="00121BEE"/>
    <w:rsid w:val="00124717"/>
    <w:rsid w:val="001269B9"/>
    <w:rsid w:val="00127D76"/>
    <w:rsid w:val="00133547"/>
    <w:rsid w:val="00137EC3"/>
    <w:rsid w:val="00141490"/>
    <w:rsid w:val="00142757"/>
    <w:rsid w:val="001707C8"/>
    <w:rsid w:val="00175A43"/>
    <w:rsid w:val="00185D30"/>
    <w:rsid w:val="00187714"/>
    <w:rsid w:val="0019075D"/>
    <w:rsid w:val="001936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1F6D42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6149"/>
    <w:rsid w:val="00247584"/>
    <w:rsid w:val="00251330"/>
    <w:rsid w:val="00257CEE"/>
    <w:rsid w:val="0026272B"/>
    <w:rsid w:val="00262C21"/>
    <w:rsid w:val="00264421"/>
    <w:rsid w:val="002656B5"/>
    <w:rsid w:val="002663A9"/>
    <w:rsid w:val="002671A1"/>
    <w:rsid w:val="00275DF6"/>
    <w:rsid w:val="002800AE"/>
    <w:rsid w:val="00286922"/>
    <w:rsid w:val="0028694A"/>
    <w:rsid w:val="002965B7"/>
    <w:rsid w:val="0029761A"/>
    <w:rsid w:val="002B555A"/>
    <w:rsid w:val="002C09B8"/>
    <w:rsid w:val="002C3C57"/>
    <w:rsid w:val="002E07ED"/>
    <w:rsid w:val="002E4A97"/>
    <w:rsid w:val="002E586D"/>
    <w:rsid w:val="002E795E"/>
    <w:rsid w:val="002F669A"/>
    <w:rsid w:val="003007F7"/>
    <w:rsid w:val="00305252"/>
    <w:rsid w:val="0031255A"/>
    <w:rsid w:val="00324937"/>
    <w:rsid w:val="003272AC"/>
    <w:rsid w:val="00343A83"/>
    <w:rsid w:val="00343BBE"/>
    <w:rsid w:val="00344778"/>
    <w:rsid w:val="0036396F"/>
    <w:rsid w:val="00366A5F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4D64"/>
    <w:rsid w:val="003F7CB8"/>
    <w:rsid w:val="00400415"/>
    <w:rsid w:val="00404D65"/>
    <w:rsid w:val="00416573"/>
    <w:rsid w:val="00423E0E"/>
    <w:rsid w:val="00430812"/>
    <w:rsid w:val="00434917"/>
    <w:rsid w:val="004424AE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2083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3D6F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1B56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1BC8"/>
    <w:rsid w:val="00666C42"/>
    <w:rsid w:val="00667DE5"/>
    <w:rsid w:val="006728A3"/>
    <w:rsid w:val="00672C26"/>
    <w:rsid w:val="006759EE"/>
    <w:rsid w:val="006766F8"/>
    <w:rsid w:val="006770EC"/>
    <w:rsid w:val="0068444D"/>
    <w:rsid w:val="00691F66"/>
    <w:rsid w:val="006957C4"/>
    <w:rsid w:val="006971B4"/>
    <w:rsid w:val="006A2DDD"/>
    <w:rsid w:val="006A447F"/>
    <w:rsid w:val="006A7293"/>
    <w:rsid w:val="006A7F38"/>
    <w:rsid w:val="006B389A"/>
    <w:rsid w:val="006B3CC5"/>
    <w:rsid w:val="006C17FB"/>
    <w:rsid w:val="006C4516"/>
    <w:rsid w:val="006C574D"/>
    <w:rsid w:val="006C5B43"/>
    <w:rsid w:val="006C6C3E"/>
    <w:rsid w:val="006D0D25"/>
    <w:rsid w:val="006D0D7C"/>
    <w:rsid w:val="006E17FC"/>
    <w:rsid w:val="006E5E5B"/>
    <w:rsid w:val="006F1B00"/>
    <w:rsid w:val="006F2E31"/>
    <w:rsid w:val="006F327E"/>
    <w:rsid w:val="00704118"/>
    <w:rsid w:val="007114BF"/>
    <w:rsid w:val="00720A76"/>
    <w:rsid w:val="007259FF"/>
    <w:rsid w:val="00726FC3"/>
    <w:rsid w:val="007315D8"/>
    <w:rsid w:val="007321EB"/>
    <w:rsid w:val="00741C17"/>
    <w:rsid w:val="007423E4"/>
    <w:rsid w:val="00742EA8"/>
    <w:rsid w:val="0074309D"/>
    <w:rsid w:val="00743433"/>
    <w:rsid w:val="00745027"/>
    <w:rsid w:val="00752AD3"/>
    <w:rsid w:val="007577DC"/>
    <w:rsid w:val="007850F6"/>
    <w:rsid w:val="00787DEC"/>
    <w:rsid w:val="0079169F"/>
    <w:rsid w:val="00796021"/>
    <w:rsid w:val="007A1FE0"/>
    <w:rsid w:val="007A3F45"/>
    <w:rsid w:val="007A43BC"/>
    <w:rsid w:val="007B1641"/>
    <w:rsid w:val="007C33CA"/>
    <w:rsid w:val="007E233B"/>
    <w:rsid w:val="007E2F26"/>
    <w:rsid w:val="007E3555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0AA2"/>
    <w:rsid w:val="0083136C"/>
    <w:rsid w:val="008320BD"/>
    <w:rsid w:val="00833AF5"/>
    <w:rsid w:val="00834A32"/>
    <w:rsid w:val="00834BD7"/>
    <w:rsid w:val="0083671D"/>
    <w:rsid w:val="0084049C"/>
    <w:rsid w:val="00841710"/>
    <w:rsid w:val="00844354"/>
    <w:rsid w:val="0085215B"/>
    <w:rsid w:val="00852655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236"/>
    <w:rsid w:val="00914765"/>
    <w:rsid w:val="00923E7C"/>
    <w:rsid w:val="00926EDF"/>
    <w:rsid w:val="00935CE3"/>
    <w:rsid w:val="00945CF5"/>
    <w:rsid w:val="00951114"/>
    <w:rsid w:val="00951722"/>
    <w:rsid w:val="00952F13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97E"/>
    <w:rsid w:val="009D4F3B"/>
    <w:rsid w:val="009D7AE7"/>
    <w:rsid w:val="009E171F"/>
    <w:rsid w:val="009E1BD0"/>
    <w:rsid w:val="009F2776"/>
    <w:rsid w:val="009F4667"/>
    <w:rsid w:val="009F613B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37995"/>
    <w:rsid w:val="00A441B5"/>
    <w:rsid w:val="00A44C42"/>
    <w:rsid w:val="00A46486"/>
    <w:rsid w:val="00A50158"/>
    <w:rsid w:val="00A63F0D"/>
    <w:rsid w:val="00A7177D"/>
    <w:rsid w:val="00A7216C"/>
    <w:rsid w:val="00A80196"/>
    <w:rsid w:val="00AA7EEF"/>
    <w:rsid w:val="00AB0ABD"/>
    <w:rsid w:val="00AB70F8"/>
    <w:rsid w:val="00AC50B2"/>
    <w:rsid w:val="00AC6962"/>
    <w:rsid w:val="00AD03D0"/>
    <w:rsid w:val="00AD691C"/>
    <w:rsid w:val="00AD7C4E"/>
    <w:rsid w:val="00AE1BD2"/>
    <w:rsid w:val="00AE500E"/>
    <w:rsid w:val="00AE6A5B"/>
    <w:rsid w:val="00AF5D18"/>
    <w:rsid w:val="00B050F4"/>
    <w:rsid w:val="00B060B9"/>
    <w:rsid w:val="00B111AC"/>
    <w:rsid w:val="00B11FCB"/>
    <w:rsid w:val="00B14E78"/>
    <w:rsid w:val="00B31FE9"/>
    <w:rsid w:val="00B33565"/>
    <w:rsid w:val="00B33FE3"/>
    <w:rsid w:val="00B50041"/>
    <w:rsid w:val="00B51FDA"/>
    <w:rsid w:val="00B56531"/>
    <w:rsid w:val="00B70436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BF6D7C"/>
    <w:rsid w:val="00C01728"/>
    <w:rsid w:val="00C0580F"/>
    <w:rsid w:val="00C11E76"/>
    <w:rsid w:val="00C157BC"/>
    <w:rsid w:val="00C2246A"/>
    <w:rsid w:val="00C230D5"/>
    <w:rsid w:val="00C23B4B"/>
    <w:rsid w:val="00C25B1D"/>
    <w:rsid w:val="00C260AC"/>
    <w:rsid w:val="00C3304B"/>
    <w:rsid w:val="00C33343"/>
    <w:rsid w:val="00C37AA0"/>
    <w:rsid w:val="00C4047B"/>
    <w:rsid w:val="00C4081E"/>
    <w:rsid w:val="00C42F45"/>
    <w:rsid w:val="00C46774"/>
    <w:rsid w:val="00C47105"/>
    <w:rsid w:val="00C55D6B"/>
    <w:rsid w:val="00C62595"/>
    <w:rsid w:val="00C63167"/>
    <w:rsid w:val="00C729D6"/>
    <w:rsid w:val="00C7637A"/>
    <w:rsid w:val="00C76FE6"/>
    <w:rsid w:val="00C8238D"/>
    <w:rsid w:val="00C831C8"/>
    <w:rsid w:val="00C834E7"/>
    <w:rsid w:val="00C84A42"/>
    <w:rsid w:val="00C84B3F"/>
    <w:rsid w:val="00C9202D"/>
    <w:rsid w:val="00C951DF"/>
    <w:rsid w:val="00CC2A7D"/>
    <w:rsid w:val="00CC7E4D"/>
    <w:rsid w:val="00D003A2"/>
    <w:rsid w:val="00D06701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0BDD"/>
    <w:rsid w:val="00D611AB"/>
    <w:rsid w:val="00D70CD5"/>
    <w:rsid w:val="00D73687"/>
    <w:rsid w:val="00D73E74"/>
    <w:rsid w:val="00D83C64"/>
    <w:rsid w:val="00D92AE7"/>
    <w:rsid w:val="00DA0214"/>
    <w:rsid w:val="00DA46DD"/>
    <w:rsid w:val="00DA75CA"/>
    <w:rsid w:val="00DB11A9"/>
    <w:rsid w:val="00DB37AE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05C"/>
    <w:rsid w:val="00E424EA"/>
    <w:rsid w:val="00E536F5"/>
    <w:rsid w:val="00E55524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018A"/>
    <w:rsid w:val="00F33ED0"/>
    <w:rsid w:val="00F33FB2"/>
    <w:rsid w:val="00F353A7"/>
    <w:rsid w:val="00F35917"/>
    <w:rsid w:val="00F374D3"/>
    <w:rsid w:val="00F52345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1C1C"/>
    <w:rsid w:val="00FA3594"/>
    <w:rsid w:val="00FB25C9"/>
    <w:rsid w:val="00FB4927"/>
    <w:rsid w:val="00FB6E6B"/>
    <w:rsid w:val="00FC2901"/>
    <w:rsid w:val="00FD3388"/>
    <w:rsid w:val="00FE3A23"/>
    <w:rsid w:val="00FE5161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table" w:styleId="TableGrid">
    <w:name w:val="Table Grid"/>
    <w:aliases w:val="TableGrid"/>
    <w:basedOn w:val="TableNormal"/>
    <w:qFormat/>
    <w:rsid w:val="00366A5F"/>
    <w:rPr>
      <w:rFonts w:ascii="CG Times (WN)" w:eastAsia="Calibri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366A5F"/>
  </w:style>
  <w:style w:type="paragraph" w:styleId="Revision">
    <w:name w:val="Revision"/>
    <w:hidden/>
    <w:uiPriority w:val="99"/>
    <w:semiHidden/>
    <w:rsid w:val="00FA1C1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TSG_SA/TSGS_107_Incheon_2025-03/Docs/SP-250413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QC_169</cp:lastModifiedBy>
  <cp:revision>98</cp:revision>
  <cp:lastPrinted>2002-04-23T08:10:00Z</cp:lastPrinted>
  <dcterms:created xsi:type="dcterms:W3CDTF">2023-05-02T11:25:00Z</dcterms:created>
  <dcterms:modified xsi:type="dcterms:W3CDTF">2025-05-09T06:34:00Z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